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8" w:rsidRPr="00A22BE8" w:rsidRDefault="00A22BE8" w:rsidP="003E0A5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НКО о получении статуса исполнителя общественно полезных услуг (ИОПУ)</w:t>
      </w:r>
    </w:p>
    <w:p w:rsidR="00A22BE8" w:rsidRPr="00A22BE8" w:rsidRDefault="00A22BE8" w:rsidP="003E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EDF9D" wp14:editId="3B056C6B">
            <wp:extent cx="5345250" cy="3255990"/>
            <wp:effectExtent l="0" t="0" r="8255" b="1905"/>
            <wp:docPr id="1" name="Рисунок 1" descr="OPRF-788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RF-788x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2" cy="32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Экспертно-аналитического центра при Общественной палате Российской Федерации для НКО, претендующих на статус ИОПУ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</w:t>
      </w: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Владимир Владимирович Путин в 2015 – 2016 годах в ежегодных посланиях Федеральному Собранию отметил важность вопроса поддержки некоммерческих организаций, зарекомендовавших себя как безупречные партнеры государства, и указал на необходимость установления правового статуса «некоммерческая организация – исполнитель общественно полезных услуг», разработки всей необходимой нормативно–правовой базы.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был принят ряд федеральных законов, направленных на установление указанного статуса и правовой основы для оказания таким организациям поддержки со стороны государства.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 своим Указом утвердил </w:t>
      </w:r>
      <w:hyperlink r:id="rId9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приоритетные </w:t>
        </w:r>
        <w:proofErr w:type="spellStart"/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направления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оказания общественно полезных услуг, Правительство Российской Федерации на их основе утвердило </w:t>
      </w:r>
      <w:hyperlink r:id="rId10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полезных услуг, </w:t>
      </w:r>
      <w:hyperlink r:id="rId11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оказания общественно полезных услуг и порядок признания организаций исполнителями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Федеральный закон от 12 января 1996 года № 7–ФЗ «О некоммерческих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(статья 31.4);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Какая организация может быть признана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Исполнителем общественно полезных услуг может быть признана социально ориентированная некоммерческая организация, которая отвечает следующим требованиям: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протяжении одного года и более оказывает общественно полезные услуги надлежащего качества;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является НКО, выполняющей функции иностранного агента;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Какие услуги могут быть признаны общественно полезными</w:t>
      </w:r>
    </w:p>
    <w:p w:rsidR="00A22BE8" w:rsidRPr="00A22BE8" w:rsidRDefault="00477CE9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22BE8"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A22BE8"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полезных услуг утвержден постановлением Правительства Российской Федерации от 27 октября 2016 года № 1096.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достаточно обширен. К примеру, это услуги в сфере: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предоставления социального обслуживания на дому, а также в стационарной и полустационарной форме;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содействия в вопросах трудоустройства;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реабилитации и социальной адаптации инвалидов и детей–инвалидов;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социальной помощи и социального сопровождения детей, инвалидов, граждан пожилого возраста, лиц,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трудной жизненной ситуации;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профилактики безнадзорности и правонарушений несовершеннолетних;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социальной адаптации и семейного устройства детей, оставшихся без попечения родителей;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отдыха и оздоровления детей;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дошкольного и общего образования, дополнительного образования детей;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профилактики социально значимых заболеваний, курения, алкоголизма, наркомании;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–социального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лиц, страдающих тяжелыми заболеваниями, и лиц, нуждающихся в медицинской паллиативной помощи;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–социальной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лиц с алкогольной, наркотической или иной токсической зависимостью;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физической культуры и массового спорта.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Каков алгоритм действий некоммерческой организации при получении статуса исполнителя общественно полезных услуг</w:t>
      </w:r>
    </w:p>
    <w:p w:rsidR="00A22BE8" w:rsidRPr="00A22BE8" w:rsidRDefault="00A22BE8" w:rsidP="003E0A5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власти, осуществляющих оценку качества общественно полезных услуг установленным критериям качества (подробнее см. раздел II);</w:t>
      </w:r>
    </w:p>
    <w:p w:rsidR="00A22BE8" w:rsidRPr="00A22BE8" w:rsidRDefault="00A22BE8" w:rsidP="003E0A5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признании исполнителем общественно полезных услуг в Минюст России (или его территориальный орган) (подробнее см. раздел III).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На какой срок организация признается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Минюстом России исполнителем общественно полезных услуг и включается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некоммерческих организаций – исполнителей общественно полезных услуг сроком на 2 года.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1.6. Какие привилегии предоставляет некоммерческой организации статус исполнителя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</w:t>
      </w:r>
      <w:proofErr w:type="gramEnd"/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поддержка будет оказываться не менее 2 лет.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главной преференции для таких организаций станет возможность получения бюджетных субсидий из всех уровней бюджетов бюджетной системы Российской Федерации.</w:t>
      </w:r>
      <w:proofErr w:type="gramEnd"/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такие организации смогут претендовать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во владение и (или) в пользование государственного или муниципального имущества;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бесплатного эфирного времени на государственных и муниципальных тел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е–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радиоканалах, бесплатной печатной площади в государственных и муниципальных периодических печатных изданиях, а также на размещение своих информационных материалов некоммерческой организации в информационно–телекоммуникационной сети «Интернет»;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государственными органами и органами местного самоуправления курсов повышения квалификации и обучающих мероприятий для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добровольцев таких организаций.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ЗАКЛЮЧЕНИЕ О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КАЧЕСТВА ОКАЗЫВАЕМЫХ ОРГАНИЗАЦИЕЙ ОБЩЕСТВЕННО ПОЛЕЗНЫХ УСЛУГ УСТАНОВЛЕННЫМ КРИТЕРИЯМ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Какие действия необходимо предпринять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куда нужно обратиться для получения статуса исполнителя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такого статуса организация должна доказать, что оказываемые ею услуги соответствуют </w:t>
      </w:r>
      <w:hyperlink r:id="rId13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критериям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оказания общественно полезных услуг, которые утверждены постановлением Правительства РФ от 27 октября 2016 года № 1096.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обратиться с заявлением о выдаче заключения в федеральные органы исполнительной власти (их территориальные органы), которые осуществляют оценку качества. Перечень этих органов утвержден постановлением Правительства Российской Федерации от 26 января 2017 года № 89 (приложение</w:t>
      </w: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3). В зависимости от сферы оказываемых услуг такое заключение выдается Минтрудом России,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Минкультуры России,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(территориальным органом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Роспортебнадзора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Минюстом России (территориальным органом Минюста России), Минздравом России, Ростуризмом,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 за заключением (рекомендациями), подтверждающим качество оказываемых ею услуг.</w:t>
      </w:r>
      <w:proofErr w:type="gramEnd"/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качества осуществляется несколькими заинтересованными органами, обращение с заявлением во все эти органы не требуется. Достаточно обратиться в один из таких органов, а он, в свою очередь, истребует все необходимые сведения у иных заинтересованных органов.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форме должно быть подано такое заявление и какие еще документы требуются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заключения должно быть составлено в письменной форме. Заключение должно содержать обоснование соответствия оказываемых ею услуг установленным критериям оценки качества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заявлению могут прилагаться: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документы, обосновывающие соответствие оказываемых организацией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критериям оценки качества (справки, характеристики, экспертные заключения и другие);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документы, подтверждающие отсутствие задолженностей по налогам и сборам, иным обязательным платежам.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 за заключением (рекомендациями), подтверждающим качество оказываемых ею услуг.</w:t>
      </w:r>
      <w:proofErr w:type="gramEnd"/>
      <w:r w:rsidRPr="00A2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Указанное заключение (рекомендации) организация вправе представить в качестве документа, подтверждающего качество оказываемых ею услуг, вместе с заявлением в соответствующий федеральный орган исполнительной власти.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Критерии оценки качества общественно полезных услуг:</w:t>
      </w:r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Соответствие общественно полезной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лиц, непосредственно задействованных в исполнении общественно полезной услуги (в том числе работников некоммерческой организации – исполнителя общественно полезных услуг (далее – некоммерческая организация) и работников, привлеченных по договорам </w:t>
      </w:r>
      <w:proofErr w:type="spell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информации о некоммерческой организации.</w:t>
      </w:r>
    </w:p>
    <w:p w:rsidR="00A22BE8" w:rsidRPr="00A22BE8" w:rsidRDefault="00A22BE8" w:rsidP="003E0A5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4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 о включении в формируемый реестр некоммерческих организаций.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По каким основаниям организации может быть отказано в выдаче заключения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заключения являются: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общественно полезной услуги установленным требованиям к ее содержанию (объем, сроки, качество предоставления);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 течение 2 лет, предшествующих выдаче заключения, жалоб на деятельность организации;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несоответствие уровня открытости и доступности информации об организации установленным требованиям;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 в течение 2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наличие задолженностей по налогам и сборам, иным обязательным платежам.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срок федеральными органами исполнительной власти, осуществляющими оценку качества общественно полезных услуг установленным критериям, должно быть выдано заключение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должно быть выдано в течение 30 дней. Этот срок может быть продлен в случае, если заинтересованный орган направит запросы в другие органы, но не более чем на 60 дней.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заключения о соответствии качества услуг необходимо обратиться в Министерство юстиции Российской Федерации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ОБРАЩЕНИЕ В МИНЮСТ РОССИИ С ЗАЯВЛЕНИЕМ О ПРИЗНАНИИ НЕКОММЕРЧЕСКОЙ ОРГАНИЗАЦИИ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Какой орган исполнительной власти уполномочен принимать решение о признании некоммерческой организации исполнителем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некоммерческой организации исполнителем общественно полезных услуг принимает Министерство юстиции Российской Федерации.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признании организации исполнителем общественно полезных услуг можно обратиться непосредственно в Минюст России или в его территориальный орган по месту нахождения организации.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Какие документы необходимо подать в Минюст России (его территориальный орган)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89 (форма приведена в приложении к настоящим методическим рекомендациям);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о соответствии качества оказываемых организацией общественно полезных услуг установленным критериям.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По каким основаниям Минюст России может отказать в присвоении статуса исполнителя общественно полезных услуг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признании организации исполнителем общественно полезных услуг являются: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заключения о соответствии качества оказываемых организацией общественно полезных услуг установленным критериям;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включение организации в реестр некоммерческих организаций, выполняющих функции иностранного агента.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В </w:t>
      </w:r>
      <w:proofErr w:type="gramStart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</w:t>
      </w:r>
      <w:proofErr w:type="gramEnd"/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срока Минюстом России принимается решение о признании организации исполнителем общественно полезных услуг</w:t>
      </w:r>
    </w:p>
    <w:p w:rsidR="00A22BE8" w:rsidRPr="00A22BE8" w:rsidRDefault="00A22BE8" w:rsidP="003E0A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заявление подано непосредственно в Минюст России, то решение о признании организации исполнителем общественно полезных услуг либо при наличии оснований – об отказе – принимается Минюстом России в течение 5 дней со дня поступления документов от организации.</w:t>
      </w:r>
    </w:p>
    <w:p w:rsidR="00A22BE8" w:rsidRPr="00A22BE8" w:rsidRDefault="00A22BE8" w:rsidP="003E0A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подано в территориальный орган Минюста России, то при отсутствии оснований для отказа в течение 5 рабочих дней со дня поступления документов от организации территориальный орган Минюста России направляет эти документы в Минюст России для принятия решения о признании организации исполнителем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оснований для отказа территориальный орган Минюста России в течение 5 рабочих дней со дня поступления документов возвращает эти документы организации с указанием выявленных оснований для отказа в признании организации исполнителем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Возможно ли повторное признание организации исполнителем общественно полезных услуг в упрощенном порядке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такая возможность предусмотрена. По истечении 2 лет со дня внесения организации в реестр организация должна представить в Минюст России заявление о признании организации исполнителем общественно полезных услуг.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должно быть представлено в течение 30 дней со дня истечения 2–летнего срока признания организации исполнителем общественно полезных услуг и внесения организации в реестр.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BE8" w:rsidRPr="00A22BE8" w:rsidRDefault="00A22BE8" w:rsidP="003E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в связи с процедурой получения статуса ИОПУ можно обратиться с вопросом на электронный адрес </w:t>
      </w:r>
      <w:hyperlink r:id="rId15" w:history="1">
        <w:r w:rsidRPr="00A22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nko@oprf.ru</w:t>
        </w:r>
      </w:hyperlink>
      <w:r w:rsidRPr="00A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E6738" w:rsidRDefault="00BE6738" w:rsidP="003E0A59">
      <w:pPr>
        <w:jc w:val="both"/>
      </w:pPr>
    </w:p>
    <w:sectPr w:rsidR="00BE6738" w:rsidSect="003E0A59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E9" w:rsidRDefault="00477CE9" w:rsidP="003E0A59">
      <w:pPr>
        <w:spacing w:after="0" w:line="240" w:lineRule="auto"/>
      </w:pPr>
      <w:r>
        <w:separator/>
      </w:r>
    </w:p>
  </w:endnote>
  <w:endnote w:type="continuationSeparator" w:id="0">
    <w:p w:rsidR="00477CE9" w:rsidRDefault="00477CE9" w:rsidP="003E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E9" w:rsidRDefault="00477CE9" w:rsidP="003E0A59">
      <w:pPr>
        <w:spacing w:after="0" w:line="240" w:lineRule="auto"/>
      </w:pPr>
      <w:r>
        <w:separator/>
      </w:r>
    </w:p>
  </w:footnote>
  <w:footnote w:type="continuationSeparator" w:id="0">
    <w:p w:rsidR="00477CE9" w:rsidRDefault="00477CE9" w:rsidP="003E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826684"/>
      <w:docPartObj>
        <w:docPartGallery w:val="Page Numbers (Top of Page)"/>
        <w:docPartUnique/>
      </w:docPartObj>
    </w:sdtPr>
    <w:sdtContent>
      <w:p w:rsidR="003E0A59" w:rsidRDefault="003E0A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E0A59" w:rsidRDefault="003E0A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928"/>
    <w:multiLevelType w:val="multilevel"/>
    <w:tmpl w:val="0A9C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D1B84"/>
    <w:multiLevelType w:val="multilevel"/>
    <w:tmpl w:val="C010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C5467"/>
    <w:multiLevelType w:val="multilevel"/>
    <w:tmpl w:val="7E5A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8"/>
    <w:rsid w:val="003E0A59"/>
    <w:rsid w:val="00477CE9"/>
    <w:rsid w:val="00A22BE8"/>
    <w:rsid w:val="00B55EFB"/>
    <w:rsid w:val="00B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22BE8"/>
  </w:style>
  <w:style w:type="character" w:styleId="a3">
    <w:name w:val="Hyperlink"/>
    <w:basedOn w:val="a0"/>
    <w:uiPriority w:val="99"/>
    <w:semiHidden/>
    <w:unhideWhenUsed/>
    <w:rsid w:val="00A22BE8"/>
    <w:rPr>
      <w:color w:val="0000FF"/>
      <w:u w:val="single"/>
    </w:rPr>
  </w:style>
  <w:style w:type="character" w:customStyle="1" w:styleId="byline">
    <w:name w:val="byline"/>
    <w:basedOn w:val="a0"/>
    <w:rsid w:val="00A22BE8"/>
  </w:style>
  <w:style w:type="character" w:customStyle="1" w:styleId="author">
    <w:name w:val="author"/>
    <w:basedOn w:val="a0"/>
    <w:rsid w:val="00A22BE8"/>
  </w:style>
  <w:style w:type="paragraph" w:styleId="a4">
    <w:name w:val="Normal (Web)"/>
    <w:basedOn w:val="a"/>
    <w:uiPriority w:val="99"/>
    <w:semiHidden/>
    <w:unhideWhenUsed/>
    <w:rsid w:val="00A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BE8"/>
    <w:rPr>
      <w:b/>
      <w:bCs/>
    </w:rPr>
  </w:style>
  <w:style w:type="character" w:styleId="a6">
    <w:name w:val="Emphasis"/>
    <w:basedOn w:val="a0"/>
    <w:uiPriority w:val="20"/>
    <w:qFormat/>
    <w:rsid w:val="00A22BE8"/>
    <w:rPr>
      <w:i/>
      <w:iCs/>
    </w:rPr>
  </w:style>
  <w:style w:type="character" w:customStyle="1" w:styleId="4yxo">
    <w:name w:val="_4yxo"/>
    <w:basedOn w:val="a0"/>
    <w:rsid w:val="00A22BE8"/>
  </w:style>
  <w:style w:type="paragraph" w:styleId="a7">
    <w:name w:val="Balloon Text"/>
    <w:basedOn w:val="a"/>
    <w:link w:val="a8"/>
    <w:uiPriority w:val="99"/>
    <w:semiHidden/>
    <w:unhideWhenUsed/>
    <w:rsid w:val="00A2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A59"/>
  </w:style>
  <w:style w:type="paragraph" w:styleId="ab">
    <w:name w:val="footer"/>
    <w:basedOn w:val="a"/>
    <w:link w:val="ac"/>
    <w:uiPriority w:val="99"/>
    <w:unhideWhenUsed/>
    <w:rsid w:val="003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22BE8"/>
  </w:style>
  <w:style w:type="character" w:styleId="a3">
    <w:name w:val="Hyperlink"/>
    <w:basedOn w:val="a0"/>
    <w:uiPriority w:val="99"/>
    <w:semiHidden/>
    <w:unhideWhenUsed/>
    <w:rsid w:val="00A22BE8"/>
    <w:rPr>
      <w:color w:val="0000FF"/>
      <w:u w:val="single"/>
    </w:rPr>
  </w:style>
  <w:style w:type="character" w:customStyle="1" w:styleId="byline">
    <w:name w:val="byline"/>
    <w:basedOn w:val="a0"/>
    <w:rsid w:val="00A22BE8"/>
  </w:style>
  <w:style w:type="character" w:customStyle="1" w:styleId="author">
    <w:name w:val="author"/>
    <w:basedOn w:val="a0"/>
    <w:rsid w:val="00A22BE8"/>
  </w:style>
  <w:style w:type="paragraph" w:styleId="a4">
    <w:name w:val="Normal (Web)"/>
    <w:basedOn w:val="a"/>
    <w:uiPriority w:val="99"/>
    <w:semiHidden/>
    <w:unhideWhenUsed/>
    <w:rsid w:val="00A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BE8"/>
    <w:rPr>
      <w:b/>
      <w:bCs/>
    </w:rPr>
  </w:style>
  <w:style w:type="character" w:styleId="a6">
    <w:name w:val="Emphasis"/>
    <w:basedOn w:val="a0"/>
    <w:uiPriority w:val="20"/>
    <w:qFormat/>
    <w:rsid w:val="00A22BE8"/>
    <w:rPr>
      <w:i/>
      <w:iCs/>
    </w:rPr>
  </w:style>
  <w:style w:type="character" w:customStyle="1" w:styleId="4yxo">
    <w:name w:val="_4yxo"/>
    <w:basedOn w:val="a0"/>
    <w:rsid w:val="00A22BE8"/>
  </w:style>
  <w:style w:type="paragraph" w:styleId="a7">
    <w:name w:val="Balloon Text"/>
    <w:basedOn w:val="a"/>
    <w:link w:val="a8"/>
    <w:uiPriority w:val="99"/>
    <w:semiHidden/>
    <w:unhideWhenUsed/>
    <w:rsid w:val="00A2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A59"/>
  </w:style>
  <w:style w:type="paragraph" w:styleId="ab">
    <w:name w:val="footer"/>
    <w:basedOn w:val="a"/>
    <w:link w:val="ac"/>
    <w:uiPriority w:val="99"/>
    <w:unhideWhenUsed/>
    <w:rsid w:val="003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839D2B84E284D96F6DDA1DC99F8A8E6439833EB4AFE9A75D749A7CB44DB28F55C720EAD7EFCA09KBS6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6E49E810A6A6A8A07BFFC5F4F39735BBBB2A1445498894960D98032E5484DAA7409DBBCC6E600Q0K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B06F5F4F0AA61099630D4DCAB0E50447C22829DFD73AA706BB2693DA84D22B712B0F0B19005600l7P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ko@oprf.ru" TargetMode="External"/><Relationship Id="rId10" Type="http://schemas.openxmlformats.org/officeDocument/2006/relationships/hyperlink" Target="consultantplus://offline/ref=F6B06F5F4F0AA61099630D4DCAB0E50447C22829DFD73AA706BB2693DA84D22B712B0F0B19005701l7P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3712BF4F11CA9BF7774EC9E724919842F218FFCE9A5148697BD796AA69AE21B9D1121CC9236FDsFOBO" TargetMode="External"/><Relationship Id="rId14" Type="http://schemas.openxmlformats.org/officeDocument/2006/relationships/hyperlink" Target="consultantplus://offline/ref=1EE3A85753951BB6FE63E3966EA8A46D72C41489914143623FABE96499s0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Э.П.</dc:creator>
  <cp:lastModifiedBy>Архипова Э.П.</cp:lastModifiedBy>
  <cp:revision>3</cp:revision>
  <dcterms:created xsi:type="dcterms:W3CDTF">2017-07-05T11:05:00Z</dcterms:created>
  <dcterms:modified xsi:type="dcterms:W3CDTF">2017-08-29T12:50:00Z</dcterms:modified>
</cp:coreProperties>
</file>